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14</w:t>
      </w:r>
      <w:r w:rsidRPr="0056058D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February 2013</w:t>
      </w: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56058D" w:rsidRDefault="00091E34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56058D"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 to Start Phase II-stage Expansion for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56058D"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Plant</w:t>
      </w:r>
      <w:r w:rsid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56058D"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>in Philippines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56058D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announced today that the company will start the Phase II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expansion for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Philippines Inc. (YTPI), a local subsidiary for manufacturing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selling passenger car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s, in May this year. With a total investment of 11 billion yen, the Phase II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expansion will enable an increase of 2.5 million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in the annual production capacity of YTPI. It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is targeted that operation at Phase II will start in fall of 2014 and the company plans to begin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full-fledged production in 2015. The annual production capacity of YTPI is expected to reach 12.5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million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by the time the Phase II expansion is completed.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In January 2011,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Rubber announced its plan to expand the annual production capacity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the YTPI from then 7 million to 17 million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s by 2017. According to the plan,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 Rubber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would invest 20 billion yen in the Phase I expansion to increase the capacity by 3 million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a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year by 2013. Also planned was the following Phase II expansion to increase the capacity to 13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million by 2014.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>With the Phase I expansion completed as scheduled, its operation will begin in February 2013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will enter full-fledged production in 2014. The Phase II expansion of this time also is based on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initial plan. However, because of the change in the market environment demanding for larger-sized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higher value added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s, the production capacity in terms of the quantity of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will slight decrease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in the Phase II expansion so as to enhance the production for such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s. To accommodate these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Phase I and II expansions, the company also expanded the plant’s site area by 2.8 times to 46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hectares from the original 16 hectares by newly leasing an adjacent land of 30 hectares last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February 2011.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In 1996, the YTPI was founded as a production base for passenger car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for export. At present, it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manufactures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for passenger cars and sports utility vehicles with internal diameters from 13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18 inches (and to 20 inches by the end of 2013). In addition to exporting most of these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to North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America, Europe and ASEAN countries, YTPI is delivering some of the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to automotive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manufacturers in North America and Asian countries.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proofErr w:type="gramStart"/>
      <w:r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■Outline of </w:t>
      </w:r>
      <w:r w:rsidR="00091E34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091E34"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Philippines Inc.</w:t>
      </w:r>
      <w:proofErr w:type="gramEnd"/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Lines of business: Manufacturing and sale of </w:t>
      </w:r>
      <w:r w:rsidR="00091E34">
        <w:rPr>
          <w:rFonts w:ascii="Arial" w:eastAsia="Calibri" w:hAnsi="Arial" w:cs="Arial"/>
          <w:sz w:val="22"/>
          <w:szCs w:val="22"/>
          <w:lang w:val="en-GB"/>
        </w:rPr>
        <w:t>tyre</w:t>
      </w:r>
      <w:r w:rsidRPr="0056058D">
        <w:rPr>
          <w:rFonts w:ascii="Arial" w:eastAsia="Calibri" w:hAnsi="Arial" w:cs="Arial"/>
          <w:sz w:val="22"/>
          <w:szCs w:val="22"/>
          <w:lang w:val="en-GB"/>
        </w:rPr>
        <w:t>s for passenger cars and sports utility</w:t>
      </w:r>
    </w:p>
    <w:p w:rsid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>Vehicles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>Site area: 46 hectares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 xml:space="preserve">Representative: Tetsuya </w:t>
      </w:r>
      <w:proofErr w:type="spellStart"/>
      <w:r w:rsidRPr="0056058D">
        <w:rPr>
          <w:rFonts w:ascii="Arial" w:eastAsia="Calibri" w:hAnsi="Arial" w:cs="Arial"/>
          <w:sz w:val="22"/>
          <w:szCs w:val="22"/>
          <w:lang w:val="en-GB"/>
        </w:rPr>
        <w:t>Kuze</w:t>
      </w:r>
      <w:proofErr w:type="spellEnd"/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>Number of employees: 2,078 (as of the end of 2012)</w:t>
      </w:r>
    </w:p>
    <w:p w:rsidR="0056058D" w:rsidRPr="0056058D" w:rsidRDefault="0056058D" w:rsidP="00091E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56058D">
        <w:rPr>
          <w:rFonts w:ascii="Arial" w:eastAsia="Calibri" w:hAnsi="Arial" w:cs="Arial"/>
          <w:sz w:val="22"/>
          <w:szCs w:val="22"/>
          <w:lang w:val="en-GB"/>
        </w:rPr>
        <w:t>Location: Clark Freeport Zone, Philippines</w:t>
      </w:r>
    </w:p>
    <w:sectPr w:rsidR="0056058D" w:rsidRPr="0056058D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480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480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1E34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058D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A480D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2013-02-15T16:23:00Z</dcterms:created>
  <dcterms:modified xsi:type="dcterms:W3CDTF">2013-02-15T16:24:00Z</dcterms:modified>
</cp:coreProperties>
</file>